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0E" w:rsidRPr="00AA5754" w:rsidRDefault="00216493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94615</wp:posOffset>
            </wp:positionV>
            <wp:extent cx="1904365" cy="2665095"/>
            <wp:effectExtent l="19050" t="0" r="635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66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8D2" w:rsidRPr="00AA5754">
        <w:rPr>
          <w:sz w:val="40"/>
          <w:szCs w:val="40"/>
        </w:rPr>
        <w:t>Gothic Story Assignment</w:t>
      </w:r>
      <w:r w:rsidRPr="00216493">
        <w:rPr>
          <w:sz w:val="40"/>
          <w:szCs w:val="40"/>
        </w:rPr>
        <w:t xml:space="preserve"> </w:t>
      </w:r>
    </w:p>
    <w:p w:rsidR="00852658" w:rsidRPr="00852658" w:rsidRDefault="001F28D2">
      <w:r>
        <w:t xml:space="preserve">Working in your assigned group, you are to create a collection of American Gothic Short Stories. </w:t>
      </w:r>
      <w:r w:rsidR="00852658">
        <w:t xml:space="preserve">Each person in your group will write </w:t>
      </w:r>
      <w:r w:rsidR="00852658">
        <w:rPr>
          <w:b/>
        </w:rPr>
        <w:t>one short story (1 ½ page minimum).</w:t>
      </w:r>
      <w:r w:rsidR="00852658">
        <w:t xml:space="preserve"> As a group, you will create a book jacket (cover) for your collection of short stories.</w:t>
      </w:r>
    </w:p>
    <w:p w:rsidR="001F28D2" w:rsidRDefault="00852658">
      <w:r>
        <w:t>Using everything we’ve learned from Edgar Allen Poe’s “The Raven” and “The Fall of the House of Usher,” as well as</w:t>
      </w:r>
      <w:r w:rsidR="00273FEC">
        <w:t xml:space="preserve"> our discussion about “Elements of American Gothic”</w:t>
      </w:r>
      <w:r w:rsidR="00AA5754">
        <w:t xml:space="preserve"> and the “How to Read a Short Story” handout,</w:t>
      </w:r>
      <w:r w:rsidR="00E43753">
        <w:t xml:space="preserve"> you will write an American Gothic short story t</w:t>
      </w:r>
      <w:r w:rsidR="00AB3912">
        <w:t>hat</w:t>
      </w:r>
      <w:r w:rsidR="003F0539">
        <w:t xml:space="preserve"> follows the guidelines below:</w:t>
      </w:r>
    </w:p>
    <w:p w:rsidR="003F0539" w:rsidRPr="00AA5754" w:rsidRDefault="003F0539">
      <w:pPr>
        <w:rPr>
          <w:u w:val="single"/>
        </w:rPr>
      </w:pPr>
      <w:r w:rsidRPr="00AA5754">
        <w:rPr>
          <w:u w:val="single"/>
        </w:rPr>
        <w:t>Story Guidelines</w:t>
      </w:r>
    </w:p>
    <w:p w:rsidR="00AB3912" w:rsidRDefault="00AB3912" w:rsidP="00AA5754">
      <w:pPr>
        <w:pStyle w:val="ListParagraph"/>
        <w:numPr>
          <w:ilvl w:val="0"/>
          <w:numId w:val="1"/>
        </w:numPr>
      </w:pPr>
      <w:r>
        <w:t>One and a half pages minimum length</w:t>
      </w:r>
    </w:p>
    <w:p w:rsidR="00AB3912" w:rsidRDefault="00AB3912" w:rsidP="00AA5754">
      <w:pPr>
        <w:pStyle w:val="ListParagraph"/>
        <w:numPr>
          <w:ilvl w:val="0"/>
          <w:numId w:val="1"/>
        </w:numPr>
      </w:pPr>
      <w:r>
        <w:t xml:space="preserve">Uses at least </w:t>
      </w:r>
      <w:r w:rsidRPr="00AA5754">
        <w:rPr>
          <w:b/>
        </w:rPr>
        <w:t>two</w:t>
      </w:r>
      <w:r>
        <w:t xml:space="preserve"> images/devices from “Chart 1” on back of this sheet.</w:t>
      </w:r>
    </w:p>
    <w:p w:rsidR="00467129" w:rsidRDefault="00467129" w:rsidP="00AA5754">
      <w:pPr>
        <w:pStyle w:val="ListParagraph"/>
        <w:numPr>
          <w:ilvl w:val="0"/>
          <w:numId w:val="1"/>
        </w:numPr>
      </w:pPr>
      <w:r>
        <w:t>Uses language from “Chart 2” on back of this sheet</w:t>
      </w:r>
      <w:r w:rsidR="00AB3912">
        <w:t xml:space="preserve">. </w:t>
      </w:r>
      <w:r w:rsidR="00AB3912" w:rsidRPr="00AA5754">
        <w:rPr>
          <w:b/>
        </w:rPr>
        <w:t>Five words minimum</w:t>
      </w:r>
      <w:r w:rsidR="00AB3912">
        <w:t xml:space="preserve">, each word </w:t>
      </w:r>
      <w:r w:rsidR="00AB3912" w:rsidRPr="00AA5754">
        <w:rPr>
          <w:u w:val="single"/>
        </w:rPr>
        <w:t>underlined</w:t>
      </w:r>
      <w:r w:rsidR="00AB3912">
        <w:t>.</w:t>
      </w:r>
    </w:p>
    <w:p w:rsidR="00AB3912" w:rsidRDefault="00AA5754" w:rsidP="00AA5754">
      <w:pPr>
        <w:pStyle w:val="ListParagraph"/>
        <w:numPr>
          <w:ilvl w:val="0"/>
          <w:numId w:val="1"/>
        </w:numPr>
      </w:pPr>
      <w:r>
        <w:t xml:space="preserve">Have a clearly defined plot, characters, conflict and resolution. </w:t>
      </w:r>
    </w:p>
    <w:p w:rsidR="00216493" w:rsidRDefault="00216493" w:rsidP="00216493">
      <w:pPr>
        <w:rPr>
          <w:u w:val="single"/>
        </w:rPr>
      </w:pPr>
      <w:r>
        <w:rPr>
          <w:u w:val="single"/>
        </w:rPr>
        <w:t>Book Jacket Guidelines</w:t>
      </w:r>
    </w:p>
    <w:p w:rsidR="00216493" w:rsidRDefault="00216493" w:rsidP="00216493">
      <w:pPr>
        <w:pStyle w:val="ListParagraph"/>
        <w:numPr>
          <w:ilvl w:val="0"/>
          <w:numId w:val="2"/>
        </w:numPr>
      </w:pPr>
      <w:r>
        <w:t>Title clearly displayed, creative, visual</w:t>
      </w:r>
    </w:p>
    <w:p w:rsidR="00216493" w:rsidRDefault="00216493" w:rsidP="00216493">
      <w:pPr>
        <w:pStyle w:val="ListParagraph"/>
        <w:numPr>
          <w:ilvl w:val="0"/>
          <w:numId w:val="2"/>
        </w:numPr>
      </w:pPr>
      <w:r>
        <w:t>Images used to make cover attractive</w:t>
      </w:r>
    </w:p>
    <w:p w:rsidR="00216493" w:rsidRDefault="00216493" w:rsidP="00216493">
      <w:pPr>
        <w:pStyle w:val="ListParagraph"/>
        <w:numPr>
          <w:ilvl w:val="0"/>
          <w:numId w:val="2"/>
        </w:numPr>
      </w:pPr>
      <w:r>
        <w:t>Well designed to hold stories</w:t>
      </w:r>
    </w:p>
    <w:p w:rsidR="00216493" w:rsidRPr="00B97CC0" w:rsidRDefault="00216493" w:rsidP="00216493">
      <w:pPr>
        <w:rPr>
          <w:u w:val="single"/>
        </w:rPr>
      </w:pPr>
      <w:r w:rsidRPr="00B97CC0">
        <w:rPr>
          <w:u w:val="single"/>
        </w:rPr>
        <w:t>How you are graded</w:t>
      </w:r>
    </w:p>
    <w:p w:rsidR="00216493" w:rsidRDefault="00B97CC0" w:rsidP="00B97CC0">
      <w:pPr>
        <w:pStyle w:val="ListParagraph"/>
        <w:numPr>
          <w:ilvl w:val="0"/>
          <w:numId w:val="3"/>
        </w:numPr>
      </w:pPr>
      <w:r>
        <w:t>Individual grade for story (4</w:t>
      </w:r>
      <w:r w:rsidR="00216493">
        <w:t>0 points)</w:t>
      </w:r>
    </w:p>
    <w:p w:rsidR="00216493" w:rsidRPr="00216493" w:rsidRDefault="00216493" w:rsidP="00B97CC0">
      <w:pPr>
        <w:pStyle w:val="ListParagraph"/>
        <w:numPr>
          <w:ilvl w:val="0"/>
          <w:numId w:val="3"/>
        </w:numPr>
      </w:pPr>
      <w:r>
        <w:t>Group grade for cover (10 points each group member, graded as whole group)</w:t>
      </w:r>
    </w:p>
    <w:p w:rsidR="001F28D2" w:rsidRDefault="00216493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503.1pt;height:73pt;z-index:251661312;mso-position-horizontal:center;mso-width-relative:margin;mso-height-relative:margin">
            <v:textbox>
              <w:txbxContent>
                <w:p w:rsidR="00216493" w:rsidRDefault="00216493" w:rsidP="00216493">
                  <w:r>
                    <w:t xml:space="preserve">It should go without saying, but I’m going to be very explicit – your story must be school appropriate. That means no inappropriate language and no extreme violence. This is not a violent horror story; this is an American </w:t>
                  </w:r>
                  <w:proofErr w:type="gramStart"/>
                  <w:r>
                    <w:t>Gothic</w:t>
                  </w:r>
                  <w:proofErr w:type="gramEnd"/>
                  <w:r>
                    <w:t xml:space="preserve"> story. There is a difference. </w:t>
                  </w:r>
                  <w:r w:rsidRPr="00AB3912">
                    <w:rPr>
                      <w:b/>
                    </w:rPr>
                    <w:t>The focus is more on building tension</w:t>
                  </w:r>
                  <w:r>
                    <w:t xml:space="preserve"> than on decapitations and foul language. If you don’t understand the difference, talk to me.</w:t>
                  </w:r>
                </w:p>
                <w:p w:rsidR="00216493" w:rsidRDefault="00216493"/>
              </w:txbxContent>
            </v:textbox>
          </v:shape>
        </w:pict>
      </w:r>
    </w:p>
    <w:p w:rsidR="001F28D2" w:rsidRDefault="001F28D2"/>
    <w:p w:rsidR="001F28D2" w:rsidRDefault="001F28D2">
      <w:r>
        <w:br w:type="page"/>
      </w:r>
    </w:p>
    <w:tbl>
      <w:tblPr>
        <w:tblStyle w:val="TableGrid"/>
        <w:tblpPr w:leftFromText="180" w:rightFromText="180" w:vertAnchor="page" w:horzAnchor="margin" w:tblpXSpec="center" w:tblpY="8328"/>
        <w:tblW w:w="8681" w:type="dxa"/>
        <w:tblLook w:val="04A0"/>
      </w:tblPr>
      <w:tblGrid>
        <w:gridCol w:w="1768"/>
        <w:gridCol w:w="6913"/>
      </w:tblGrid>
      <w:tr w:rsidR="001F28D2" w:rsidRPr="001F28D2" w:rsidTr="00467129">
        <w:trPr>
          <w:trHeight w:val="1193"/>
        </w:trPr>
        <w:tc>
          <w:tcPr>
            <w:tcW w:w="1768" w:type="dxa"/>
            <w:shd w:val="clear" w:color="auto" w:fill="F2F2F2" w:themeFill="background1" w:themeFillShade="F2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lastRenderedPageBreak/>
              <w:t>Mystery</w:t>
            </w:r>
          </w:p>
        </w:tc>
        <w:tc>
          <w:tcPr>
            <w:tcW w:w="6913" w:type="dxa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 xml:space="preserve">diabolical, enchantment, ghost, goblins, haunted, infernal, magic, magician, miracle, necromancer, omens, ominous, portent, preternatural, prodigy, prophecy, secret, sorcerer, </w:t>
            </w:r>
            <w:proofErr w:type="spellStart"/>
            <w:r w:rsidRPr="001F28D2">
              <w:t>spectre</w:t>
            </w:r>
            <w:proofErr w:type="spellEnd"/>
            <w:r w:rsidRPr="001F28D2">
              <w:t>, spirits, strangeness, talisman, vision</w:t>
            </w:r>
          </w:p>
        </w:tc>
      </w:tr>
      <w:tr w:rsidR="001F28D2" w:rsidRPr="001F28D2" w:rsidTr="00467129">
        <w:trPr>
          <w:trHeight w:val="1534"/>
        </w:trPr>
        <w:tc>
          <w:tcPr>
            <w:tcW w:w="1768" w:type="dxa"/>
            <w:shd w:val="clear" w:color="auto" w:fill="F2F2F2" w:themeFill="background1" w:themeFillShade="F2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Fear, Terror, or Sorrow</w:t>
            </w:r>
          </w:p>
        </w:tc>
        <w:tc>
          <w:tcPr>
            <w:tcW w:w="6913" w:type="dxa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afflicted, affliction, agony, anguish, apprehensions, apprehensive, commiseration, concern, despair, dismal, dismay, dread, dreaded, dreading, fearing, frantic, fright, frightened, grief, hopeless, horrid, horror, lamentable, melancholy, miserable, mournfully, panic, sadly, scared, shrieks, sorrow, sympathy, tears, terrible, terrified, terror, unhappy, wretched</w:t>
            </w:r>
          </w:p>
        </w:tc>
      </w:tr>
      <w:tr w:rsidR="001F28D2" w:rsidRPr="001F28D2" w:rsidTr="00467129">
        <w:trPr>
          <w:trHeight w:val="852"/>
        </w:trPr>
        <w:tc>
          <w:tcPr>
            <w:tcW w:w="1768" w:type="dxa"/>
            <w:shd w:val="clear" w:color="auto" w:fill="F2F2F2" w:themeFill="background1" w:themeFillShade="F2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Surprise</w:t>
            </w:r>
          </w:p>
        </w:tc>
        <w:tc>
          <w:tcPr>
            <w:tcW w:w="6913" w:type="dxa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alarm, amazement, astonished, astonishment, shocking, staring, surprise, surprised, thunderstruck, wonder</w:t>
            </w:r>
          </w:p>
        </w:tc>
      </w:tr>
      <w:tr w:rsidR="001F28D2" w:rsidRPr="001F28D2" w:rsidTr="00467129">
        <w:trPr>
          <w:trHeight w:val="852"/>
        </w:trPr>
        <w:tc>
          <w:tcPr>
            <w:tcW w:w="1768" w:type="dxa"/>
            <w:shd w:val="clear" w:color="auto" w:fill="F2F2F2" w:themeFill="background1" w:themeFillShade="F2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Haste</w:t>
            </w:r>
          </w:p>
        </w:tc>
        <w:tc>
          <w:tcPr>
            <w:tcW w:w="6913" w:type="dxa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anxious, breathless, flight, frantic, hastened, hastily, impatience, impatient, impatiently, impetuosity, precipitately, running, sudden, suddenly</w:t>
            </w:r>
          </w:p>
        </w:tc>
      </w:tr>
      <w:tr w:rsidR="001F28D2" w:rsidRPr="001F28D2" w:rsidTr="00467129">
        <w:trPr>
          <w:trHeight w:val="852"/>
        </w:trPr>
        <w:tc>
          <w:tcPr>
            <w:tcW w:w="1768" w:type="dxa"/>
            <w:shd w:val="clear" w:color="auto" w:fill="F2F2F2" w:themeFill="background1" w:themeFillShade="F2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Anger</w:t>
            </w:r>
          </w:p>
        </w:tc>
        <w:tc>
          <w:tcPr>
            <w:tcW w:w="6913" w:type="dxa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anger, angrily, choler, enraged, furious, fury, incense, incensed, provoked, rage, raving, resentment, temper, wrath, wrathful, wrathfully</w:t>
            </w:r>
          </w:p>
        </w:tc>
      </w:tr>
      <w:tr w:rsidR="001F28D2" w:rsidRPr="001F28D2" w:rsidTr="00467129">
        <w:trPr>
          <w:trHeight w:val="691"/>
        </w:trPr>
        <w:tc>
          <w:tcPr>
            <w:tcW w:w="1768" w:type="dxa"/>
            <w:shd w:val="clear" w:color="auto" w:fill="F2F2F2" w:themeFill="background1" w:themeFillShade="F2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Largeness</w:t>
            </w:r>
          </w:p>
        </w:tc>
        <w:tc>
          <w:tcPr>
            <w:tcW w:w="6913" w:type="dxa"/>
            <w:hideMark/>
          </w:tcPr>
          <w:p w:rsidR="001F28D2" w:rsidRPr="001F28D2" w:rsidRDefault="001F28D2" w:rsidP="00467129">
            <w:pPr>
              <w:spacing w:after="200" w:line="276" w:lineRule="auto"/>
            </w:pPr>
            <w:r w:rsidRPr="001F28D2">
              <w:t>enormous, gigantic, giant, large, tremendous, vast</w:t>
            </w:r>
          </w:p>
        </w:tc>
      </w:tr>
    </w:tbl>
    <w:p w:rsidR="00467129" w:rsidRPr="00467129" w:rsidRDefault="00467129">
      <w:pPr>
        <w:rPr>
          <w:b/>
        </w:rPr>
      </w:pPr>
      <w:r>
        <w:t xml:space="preserve">(Above) </w:t>
      </w:r>
      <w:r>
        <w:rPr>
          <w:b/>
        </w:rPr>
        <w:t xml:space="preserve">Chart 1: Imagery and devices used in American </w:t>
      </w:r>
      <w:proofErr w:type="gramStart"/>
      <w:r>
        <w:rPr>
          <w:b/>
        </w:rPr>
        <w:t>Gothic</w:t>
      </w:r>
      <w:proofErr w:type="gramEnd"/>
      <w:r>
        <w:rPr>
          <w:b/>
        </w:rPr>
        <w:t xml:space="preserve"> Literature</w:t>
      </w:r>
    </w:p>
    <w:p w:rsidR="001F28D2" w:rsidRPr="00467129" w:rsidRDefault="00273FEC">
      <w:pPr>
        <w:rPr>
          <w:b/>
        </w:rPr>
      </w:pPr>
      <w:r w:rsidRPr="00467129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-95250</wp:posOffset>
            </wp:positionV>
            <wp:extent cx="6858000" cy="386461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6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7129">
        <w:t xml:space="preserve">(Below) </w:t>
      </w:r>
      <w:r w:rsidR="00467129">
        <w:rPr>
          <w:b/>
        </w:rPr>
        <w:t xml:space="preserve">Chart 2: </w:t>
      </w:r>
      <w:proofErr w:type="gramStart"/>
      <w:r w:rsidR="00467129" w:rsidRPr="00467129">
        <w:rPr>
          <w:b/>
        </w:rPr>
        <w:t>The</w:t>
      </w:r>
      <w:proofErr w:type="gramEnd"/>
      <w:r w:rsidR="00467129" w:rsidRPr="00467129">
        <w:rPr>
          <w:b/>
        </w:rPr>
        <w:t xml:space="preserve"> language of American Gothic Literature</w:t>
      </w:r>
    </w:p>
    <w:p w:rsidR="001F28D2" w:rsidRDefault="001F28D2"/>
    <w:p w:rsidR="001F28D2" w:rsidRDefault="001F28D2"/>
    <w:p w:rsidR="001F28D2" w:rsidRDefault="001F28D2"/>
    <w:sectPr w:rsidR="001F28D2" w:rsidSect="001F2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BA2"/>
    <w:multiLevelType w:val="hybridMultilevel"/>
    <w:tmpl w:val="CA92E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C7732"/>
    <w:multiLevelType w:val="hybridMultilevel"/>
    <w:tmpl w:val="0D2CD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836BC"/>
    <w:multiLevelType w:val="hybridMultilevel"/>
    <w:tmpl w:val="109E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28D2"/>
    <w:rsid w:val="00041E0E"/>
    <w:rsid w:val="001F28D2"/>
    <w:rsid w:val="00216493"/>
    <w:rsid w:val="00273FEC"/>
    <w:rsid w:val="003A4C92"/>
    <w:rsid w:val="003F0539"/>
    <w:rsid w:val="00467129"/>
    <w:rsid w:val="00852658"/>
    <w:rsid w:val="00956A9B"/>
    <w:rsid w:val="00AA5754"/>
    <w:rsid w:val="00AB3912"/>
    <w:rsid w:val="00B97CC0"/>
    <w:rsid w:val="00E4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2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7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F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5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1</cp:revision>
  <cp:lastPrinted>2011-10-20T20:17:00Z</cp:lastPrinted>
  <dcterms:created xsi:type="dcterms:W3CDTF">2011-10-20T19:41:00Z</dcterms:created>
  <dcterms:modified xsi:type="dcterms:W3CDTF">2011-10-20T21:14:00Z</dcterms:modified>
</cp:coreProperties>
</file>